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87" w:rsidRPr="00F34552" w:rsidRDefault="008E6687" w:rsidP="008E6687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8E6687" w:rsidRPr="00F34552" w:rsidRDefault="008E6687" w:rsidP="008E6687">
      <w:pPr>
        <w:rPr>
          <w:rFonts w:ascii="Arial" w:hAnsi="Arial" w:cs="Arial"/>
          <w:color w:val="000000"/>
        </w:rPr>
      </w:pPr>
      <w:r w:rsidRPr="00F34552">
        <w:rPr>
          <w:rFonts w:ascii="Arial" w:hAnsi="Arial" w:cs="Arial"/>
          <w:b/>
          <w:bCs/>
          <w:color w:val="000000"/>
        </w:rPr>
        <w:t>PROPOSTAS AO PAP 2016/17 PARA O SEGURO RURAL</w:t>
      </w:r>
    </w:p>
    <w:p w:rsidR="008E6687" w:rsidRPr="00F34552" w:rsidRDefault="008E6687" w:rsidP="008E6687">
      <w:pPr>
        <w:rPr>
          <w:rFonts w:ascii="Arial" w:hAnsi="Arial" w:cs="Arial"/>
          <w:color w:val="000000"/>
        </w:rPr>
      </w:pPr>
      <w:r w:rsidRPr="00F34552">
        <w:rPr>
          <w:rFonts w:ascii="Arial" w:hAnsi="Arial" w:cs="Arial"/>
          <w:b/>
          <w:bCs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0"/>
      </w:tblGrid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 xml:space="preserve">a)    Prever no Plano Agrícola e Pecuário 2016/17, </w:t>
            </w:r>
            <w:r w:rsidRPr="008E6687">
              <w:rPr>
                <w:rFonts w:ascii="Arial" w:hAnsi="Arial" w:cs="Arial"/>
                <w:b/>
                <w:bCs/>
                <w:sz w:val="20"/>
                <w:u w:val="single"/>
              </w:rPr>
              <w:t>R$1,1 bilhão</w:t>
            </w:r>
            <w:r w:rsidRPr="008E6687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8E6687">
              <w:rPr>
                <w:rFonts w:ascii="Arial" w:hAnsi="Arial" w:cs="Arial"/>
                <w:sz w:val="20"/>
              </w:rPr>
              <w:t xml:space="preserve"> no orçamento de 2017 do Programa de Subvenção ao Prêmio do Seguro Rural (PSR), com um cronograma de liberação oportuna de recursos, considerando o calendário agrícola. A subvenção do PSR deve ser ofertada no período em que o produtor está comprando os insumos ou contratando o financiamento de pré-custeio e custeio.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b)   Manter a política de negociação coletiva do seguro agrícola de soja e fomentar a negociação coletiva para criação de seguro rural de trigo, soja e milho com cobertura de perda de qualidade.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c)    Investir na ampliação do pessoal dedicado ao seguro rural na SPA/MAPA, de forma a ampliar a capacidade de trabalho do Departamento Crédito, Recursos e Riscos 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d)   Criar sistemática de diminuição de juros de financiamento para agricultores que aderem ao seguro agrícola. Isto reduziria o risco de inadimplência e, consequentemente, o custo do financiamento.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e)   Propiciar a previsibilidade e estabilidade do programa de seguro agrícola, por meio de um planejamento de longo prazo (mínimo de 3 anos).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 xml:space="preserve">f)     Regulamentar o Fundo de Catástrofe, Lei Complementar 137/2010, pois a criação de um Fundo de Reparação das Seguradoras é fundamental para dar estabilidade e reduzir os riscos sistêmicos do programa.  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g)    Criar uma central de informações e promover a divulgação por meio de site e outros meios de comunicação dos valores disponíveis para subvenção ao prêmio, bem como, dos prêmios cobrados, produtividade garantida por seguradora, corretores especializados em seguro rural e produtos disponíveis.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  <w:tr w:rsidR="008E6687" w:rsidRPr="008E6687" w:rsidTr="0099347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h)   Criar um banco de dados (Cadastro Único do Produtor Agrícola), com a finalidade de reunir as informações dos produtores e fornecer os dados aos interessados autorizados.</w:t>
            </w:r>
          </w:p>
          <w:p w:rsidR="008E6687" w:rsidRPr="008E6687" w:rsidRDefault="008E6687" w:rsidP="0099347D">
            <w:pPr>
              <w:jc w:val="both"/>
              <w:rPr>
                <w:rFonts w:ascii="Arial" w:hAnsi="Arial" w:cs="Arial"/>
                <w:sz w:val="20"/>
              </w:rPr>
            </w:pPr>
            <w:r w:rsidRPr="008E6687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8E6687" w:rsidRPr="008E6687" w:rsidRDefault="008E6687" w:rsidP="008E6687">
      <w:pPr>
        <w:jc w:val="both"/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t>i)      Fomentar a participação dos Estados e Municípios para que estes constituam seus programas de subvenção, a exemplo do que fazem alguns Estados como SP, PR e SC.</w:t>
      </w: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t> j) Padronizar os sistemas de informação dos programas estaduais e do PSR para registro das apólices, evitando retrabalhos e reduzindo a burocracia e os custos de transação.</w:t>
      </w: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t>k) Revogar a obrigatoriedade de contratação de Seguro Rural ou Proagro em operações de custeio agrícola de até R$ 300mil/beneficiário (Resolução 4.336/2015).</w:t>
      </w: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</w:p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lastRenderedPageBreak/>
        <w:t>l) Alterar as regras do PSR de percentuais de subvenção conforme a tabela abaixo:</w:t>
      </w:r>
    </w:p>
    <w:p w:rsidR="008E6687" w:rsidRPr="00F34552" w:rsidRDefault="008E6687" w:rsidP="008E6687">
      <w:pPr>
        <w:rPr>
          <w:rFonts w:ascii="Arial" w:hAnsi="Arial" w:cs="Arial"/>
          <w:b/>
          <w:bCs/>
          <w:color w:val="000000"/>
        </w:rPr>
      </w:pPr>
    </w:p>
    <w:p w:rsidR="008E6687" w:rsidRPr="00F34552" w:rsidRDefault="008E6687" w:rsidP="008E6687">
      <w:pPr>
        <w:rPr>
          <w:rFonts w:ascii="Arial" w:hAnsi="Arial" w:cs="Arial"/>
          <w:color w:val="000000"/>
        </w:rPr>
      </w:pPr>
      <w:r w:rsidRPr="00F34552">
        <w:rPr>
          <w:rFonts w:ascii="Arial" w:hAnsi="Arial" w:cs="Arial"/>
          <w:b/>
          <w:bCs/>
          <w:color w:val="000000"/>
        </w:rPr>
        <w:t>PROPOSTAS DE PERCENTUAIS E LIMITES DE SUBVENÇÃO DO PSR PARA 2017-2021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410"/>
        <w:gridCol w:w="2126"/>
        <w:gridCol w:w="1276"/>
        <w:gridCol w:w="1559"/>
        <w:gridCol w:w="2127"/>
      </w:tblGrid>
      <w:tr w:rsidR="008E6687" w:rsidRPr="00F34552" w:rsidTr="0099347D">
        <w:trPr>
          <w:trHeight w:val="991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Modalidades</w:t>
            </w:r>
            <w:r w:rsidRPr="00F34552">
              <w:rPr>
                <w:rFonts w:ascii="Arial" w:hAnsi="Arial" w:cs="Arial"/>
                <w:b/>
                <w:bCs/>
              </w:rPr>
              <w:br/>
              <w:t>de Seguro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Grupos</w:t>
            </w:r>
            <w:r w:rsidRPr="00F34552">
              <w:rPr>
                <w:rFonts w:ascii="Arial" w:hAnsi="Arial" w:cs="Arial"/>
                <w:b/>
                <w:bCs/>
              </w:rPr>
              <w:br/>
              <w:t>de</w:t>
            </w:r>
            <w:r w:rsidRPr="00F34552">
              <w:rPr>
                <w:rFonts w:ascii="Arial" w:hAnsi="Arial" w:cs="Arial"/>
                <w:b/>
                <w:bCs/>
              </w:rPr>
              <w:br/>
              <w:t>atividades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Tipo de cobertura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Nível de cobertura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Subvenção (%)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Limites anuais</w:t>
            </w:r>
            <w:r w:rsidRPr="00F34552">
              <w:rPr>
                <w:rFonts w:ascii="Arial" w:hAnsi="Arial" w:cs="Arial"/>
                <w:b/>
                <w:bCs/>
              </w:rPr>
              <w:br/>
              <w:t>(R$)</w:t>
            </w:r>
          </w:p>
        </w:tc>
      </w:tr>
      <w:tr w:rsidR="008E6687" w:rsidRPr="00F34552" w:rsidTr="0099347D">
        <w:trPr>
          <w:trHeight w:val="409"/>
        </w:trPr>
        <w:tc>
          <w:tcPr>
            <w:tcW w:w="2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Agrícola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 xml:space="preserve">Trigo, milho 2ªsafra, feijão e frutas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Multirrisco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 ≥ 65%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60%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R$ 72 mil</w:t>
            </w:r>
          </w:p>
        </w:tc>
      </w:tr>
      <w:tr w:rsidR="008E6687" w:rsidRPr="00F34552" w:rsidTr="0099347D">
        <w:trPr>
          <w:trHeight w:val="1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Grãos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Multirrisco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 ≥ 65%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45%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</w:tr>
      <w:tr w:rsidR="008E6687" w:rsidRPr="00F34552" w:rsidTr="0099347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Riscos Nomeados</w:t>
            </w:r>
            <w:r w:rsidRPr="00F3455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----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45%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</w:tr>
      <w:tr w:rsidR="008E6687" w:rsidRPr="00F34552" w:rsidTr="0099347D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Olerícolas, Café e Cana-de-açúcar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45%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</w:tr>
      <w:tr w:rsidR="008E6687" w:rsidRPr="00F34552" w:rsidTr="0099347D">
        <w:trPr>
          <w:trHeight w:val="539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Florestas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Silvicultura</w:t>
            </w:r>
            <w:r w:rsidRPr="00F34552">
              <w:rPr>
                <w:rFonts w:ascii="Arial" w:hAnsi="Arial" w:cs="Arial"/>
                <w:b/>
                <w:bCs/>
              </w:rPr>
              <w:br/>
              <w:t> (Florestas plantadas)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----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</w:rPr>
              <w:t> ----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45%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R$ 24 mil</w:t>
            </w:r>
          </w:p>
        </w:tc>
      </w:tr>
      <w:tr w:rsidR="008E6687" w:rsidRPr="00F34552" w:rsidTr="0099347D">
        <w:trPr>
          <w:trHeight w:val="533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Pecuário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Aves, bovinos, bubalinos, caprinos, eqüinos, ovinos e suínos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R$ 24 mil</w:t>
            </w:r>
          </w:p>
        </w:tc>
      </w:tr>
      <w:tr w:rsidR="008E6687" w:rsidRPr="00F34552" w:rsidTr="0099347D">
        <w:trPr>
          <w:trHeight w:val="532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Aquícola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Carcinicultura, maricultura e piscicultura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R$ 24 mil</w:t>
            </w:r>
          </w:p>
        </w:tc>
      </w:tr>
      <w:tr w:rsidR="008E6687" w:rsidRPr="00F34552" w:rsidTr="0099347D">
        <w:trPr>
          <w:trHeight w:val="605"/>
        </w:trPr>
        <w:tc>
          <w:tcPr>
            <w:tcW w:w="96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C0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VALOR MÁXIMO SUBVENCIONÁVEL (CPF/ano)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5C0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6687" w:rsidRPr="00F34552" w:rsidRDefault="008E6687" w:rsidP="0099347D">
            <w:pPr>
              <w:jc w:val="center"/>
              <w:rPr>
                <w:rFonts w:ascii="Arial" w:hAnsi="Arial" w:cs="Arial"/>
              </w:rPr>
            </w:pPr>
            <w:r w:rsidRPr="00F34552">
              <w:rPr>
                <w:rFonts w:ascii="Arial" w:hAnsi="Arial" w:cs="Arial"/>
                <w:b/>
                <w:bCs/>
              </w:rPr>
              <w:t>R$ 144 mil</w:t>
            </w:r>
          </w:p>
        </w:tc>
      </w:tr>
    </w:tbl>
    <w:p w:rsidR="008E6687" w:rsidRPr="008E6687" w:rsidRDefault="008E6687" w:rsidP="008E6687">
      <w:pPr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t> * Inclusive trigo, milho 2ª safra</w:t>
      </w:r>
    </w:p>
    <w:p w:rsidR="008E6687" w:rsidRPr="00F34552" w:rsidRDefault="008E6687" w:rsidP="008E6687">
      <w:pPr>
        <w:rPr>
          <w:rFonts w:ascii="Arial" w:hAnsi="Arial" w:cs="Arial"/>
          <w:color w:val="000000"/>
        </w:rPr>
      </w:pPr>
      <w:r w:rsidRPr="00F34552">
        <w:rPr>
          <w:rFonts w:ascii="Arial" w:hAnsi="Arial" w:cs="Arial"/>
          <w:color w:val="000000"/>
        </w:rPr>
        <w:lastRenderedPageBreak/>
        <w:t> </w:t>
      </w:r>
    </w:p>
    <w:p w:rsidR="008E6687" w:rsidRDefault="008E6687" w:rsidP="008E6687">
      <w:pPr>
        <w:rPr>
          <w:rFonts w:ascii="Arial" w:hAnsi="Arial" w:cs="Arial"/>
          <w:color w:val="000000"/>
          <w:sz w:val="20"/>
        </w:rPr>
      </w:pPr>
      <w:r w:rsidRPr="008E6687">
        <w:rPr>
          <w:rFonts w:ascii="Arial" w:hAnsi="Arial" w:cs="Arial"/>
          <w:color w:val="000000"/>
          <w:sz w:val="20"/>
        </w:rPr>
        <w:t>m) Publicar o calendário de disponibilização da Subvenção do Seguro Rural conforme o cronograma abaixo: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5103"/>
        <w:gridCol w:w="2835"/>
        <w:gridCol w:w="2268"/>
      </w:tblGrid>
      <w:tr w:rsidR="008E6687" w:rsidRPr="008E6687" w:rsidTr="008E6687">
        <w:trPr>
          <w:trHeight w:val="201"/>
        </w:trPr>
        <w:tc>
          <w:tcPr>
            <w:tcW w:w="11874" w:type="dxa"/>
            <w:gridSpan w:val="4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CALENDÁRIO DISPONIBILIZAÇÃO SUBVENÇÃO DO SEGURO RURAL</w:t>
            </w:r>
          </w:p>
        </w:tc>
      </w:tr>
      <w:tr w:rsidR="008E6687" w:rsidRPr="008E6687" w:rsidTr="008E6687">
        <w:trPr>
          <w:trHeight w:val="208"/>
        </w:trPr>
        <w:tc>
          <w:tcPr>
            <w:tcW w:w="1668" w:type="dxa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Mês**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VALOR em milhões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Liberação Sistema</w:t>
            </w:r>
            <w:r w:rsidRPr="008E6687">
              <w:rPr>
                <w:rFonts w:asciiTheme="minorHAnsi" w:hAnsiTheme="minorHAnsi" w:cs="Arial"/>
              </w:rPr>
              <w:t>**</w:t>
            </w:r>
          </w:p>
        </w:tc>
      </w:tr>
      <w:tr w:rsidR="008E6687" w:rsidRPr="008E6687" w:rsidTr="008E6687">
        <w:trPr>
          <w:trHeight w:val="141"/>
        </w:trPr>
        <w:tc>
          <w:tcPr>
            <w:tcW w:w="1668" w:type="dxa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Nov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Milho 2ª Safra, Trigo e Demais Grãos de Inverno¹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Mar</w:t>
            </w:r>
          </w:p>
        </w:tc>
      </w:tr>
      <w:tr w:rsidR="008E6687" w:rsidRPr="008E6687" w:rsidTr="008E6687">
        <w:trPr>
          <w:trHeight w:val="174"/>
        </w:trPr>
        <w:tc>
          <w:tcPr>
            <w:tcW w:w="1668" w:type="dxa"/>
            <w:vMerge w:val="restart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Fev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Soja e Trigo (Negociação coletiva)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Abr</w:t>
            </w:r>
          </w:p>
        </w:tc>
      </w:tr>
      <w:tr w:rsidR="008E6687" w:rsidRPr="008E6687" w:rsidTr="008E6687">
        <w:trPr>
          <w:trHeight w:val="121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Frutas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Abr</w:t>
            </w:r>
          </w:p>
        </w:tc>
      </w:tr>
      <w:tr w:rsidR="008E6687" w:rsidRPr="008E6687" w:rsidTr="008E668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Outros³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Abr</w:t>
            </w:r>
          </w:p>
        </w:tc>
      </w:tr>
      <w:tr w:rsidR="008E6687" w:rsidRPr="008E6687" w:rsidTr="008E6687">
        <w:trPr>
          <w:trHeight w:val="35"/>
        </w:trPr>
        <w:tc>
          <w:tcPr>
            <w:tcW w:w="1668" w:type="dxa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Mar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Milho 2ª Safra, Trigo e Demais Grãos de Inverno¹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Mai</w:t>
            </w:r>
          </w:p>
        </w:tc>
      </w:tr>
      <w:tr w:rsidR="008E6687" w:rsidRPr="008E6687" w:rsidTr="008E6687">
        <w:trPr>
          <w:trHeight w:val="35"/>
        </w:trPr>
        <w:tc>
          <w:tcPr>
            <w:tcW w:w="1668" w:type="dxa"/>
            <w:vMerge w:val="restart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Abr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Grãos de Verão²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Jun</w:t>
            </w:r>
          </w:p>
        </w:tc>
      </w:tr>
      <w:tr w:rsidR="008E6687" w:rsidRPr="008E6687" w:rsidTr="008E6687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Frutas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Jun</w:t>
            </w:r>
          </w:p>
        </w:tc>
      </w:tr>
      <w:tr w:rsidR="008E6687" w:rsidRPr="008E6687" w:rsidTr="008E6687">
        <w:trPr>
          <w:trHeight w:val="35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Outros³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Jun</w:t>
            </w:r>
          </w:p>
        </w:tc>
      </w:tr>
      <w:tr w:rsidR="008E6687" w:rsidRPr="008E6687" w:rsidTr="008E6687">
        <w:trPr>
          <w:trHeight w:val="92"/>
        </w:trPr>
        <w:tc>
          <w:tcPr>
            <w:tcW w:w="1668" w:type="dxa"/>
            <w:vMerge w:val="restart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 xml:space="preserve">Jul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Grãos de Verão²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Set</w:t>
            </w:r>
          </w:p>
        </w:tc>
      </w:tr>
      <w:tr w:rsidR="008E6687" w:rsidRPr="008E6687" w:rsidTr="008E668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Frutas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Set</w:t>
            </w:r>
          </w:p>
        </w:tc>
      </w:tr>
      <w:tr w:rsidR="008E6687" w:rsidRPr="008E6687" w:rsidTr="008E6687">
        <w:trPr>
          <w:trHeight w:val="102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Outros³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Set</w:t>
            </w:r>
          </w:p>
        </w:tc>
      </w:tr>
      <w:tr w:rsidR="008E6687" w:rsidRPr="008E6687" w:rsidTr="008E6687">
        <w:trPr>
          <w:trHeight w:val="51"/>
        </w:trPr>
        <w:tc>
          <w:tcPr>
            <w:tcW w:w="1668" w:type="dxa"/>
            <w:vMerge w:val="restart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Set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Grãos de Verão²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Nov</w:t>
            </w:r>
          </w:p>
        </w:tc>
      </w:tr>
      <w:tr w:rsidR="008E6687" w:rsidRPr="008E6687" w:rsidTr="008E6687">
        <w:trPr>
          <w:trHeight w:val="141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Frutas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Nov</w:t>
            </w:r>
          </w:p>
        </w:tc>
      </w:tr>
      <w:tr w:rsidR="008E6687" w:rsidRPr="008E6687" w:rsidTr="008E668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Outros³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Nov</w:t>
            </w:r>
          </w:p>
        </w:tc>
      </w:tr>
      <w:tr w:rsidR="008E6687" w:rsidRPr="008E6687" w:rsidTr="008E6687">
        <w:trPr>
          <w:trHeight w:val="165"/>
        </w:trPr>
        <w:tc>
          <w:tcPr>
            <w:tcW w:w="1668" w:type="dxa"/>
            <w:vMerge w:val="restart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Grãos de Verão²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Dez</w:t>
            </w:r>
          </w:p>
        </w:tc>
      </w:tr>
      <w:tr w:rsidR="008E6687" w:rsidRPr="008E6687" w:rsidTr="008E6687">
        <w:trPr>
          <w:trHeight w:val="35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Frutas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Dez</w:t>
            </w:r>
          </w:p>
        </w:tc>
      </w:tr>
      <w:tr w:rsidR="008E6687" w:rsidRPr="008E6687" w:rsidTr="008E6687">
        <w:trPr>
          <w:trHeight w:val="189"/>
        </w:trPr>
        <w:tc>
          <w:tcPr>
            <w:tcW w:w="0" w:type="auto"/>
            <w:vMerge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Outros³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Dez</w:t>
            </w:r>
          </w:p>
        </w:tc>
      </w:tr>
      <w:tr w:rsidR="008E6687" w:rsidRPr="008E6687" w:rsidTr="008E6687">
        <w:trPr>
          <w:trHeight w:val="340"/>
        </w:trPr>
        <w:tc>
          <w:tcPr>
            <w:tcW w:w="6771" w:type="dxa"/>
            <w:gridSpan w:val="2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R$ 1,1 bi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jc w:val="center"/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</w:rPr>
              <w:t> </w:t>
            </w:r>
          </w:p>
        </w:tc>
      </w:tr>
      <w:tr w:rsidR="008E6687" w:rsidRPr="008E6687" w:rsidTr="008E6687">
        <w:tc>
          <w:tcPr>
            <w:tcW w:w="9606" w:type="dxa"/>
            <w:gridSpan w:val="3"/>
            <w:tcBorders>
              <w:top w:val="nil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  <w:sz w:val="20"/>
              </w:rPr>
            </w:pPr>
            <w:r w:rsidRPr="008E6687">
              <w:rPr>
                <w:rFonts w:asciiTheme="minorHAnsi" w:hAnsiTheme="minorHAnsi" w:cs="Arial"/>
                <w:b/>
                <w:bCs/>
                <w:sz w:val="20"/>
              </w:rPr>
              <w:t xml:space="preserve">¹ </w:t>
            </w:r>
            <w:r w:rsidRPr="008E6687">
              <w:rPr>
                <w:rFonts w:asciiTheme="minorHAnsi" w:hAnsiTheme="minorHAnsi" w:cs="Arial"/>
                <w:sz w:val="20"/>
              </w:rPr>
              <w:t>Demais Grãos de Inverno: aveia, canola, cevada, centeio, sorgo e triticale</w:t>
            </w:r>
          </w:p>
          <w:p w:rsidR="008E6687" w:rsidRPr="008E6687" w:rsidRDefault="008E6687" w:rsidP="0099347D">
            <w:pPr>
              <w:rPr>
                <w:rFonts w:asciiTheme="minorHAnsi" w:hAnsiTheme="minorHAnsi" w:cs="Arial"/>
                <w:sz w:val="20"/>
              </w:rPr>
            </w:pPr>
            <w:r w:rsidRPr="008E6687">
              <w:rPr>
                <w:rFonts w:asciiTheme="minorHAnsi" w:hAnsiTheme="minorHAnsi" w:cs="Arial"/>
                <w:b/>
                <w:bCs/>
                <w:sz w:val="20"/>
              </w:rPr>
              <w:t>²</w:t>
            </w:r>
            <w:r w:rsidRPr="008E6687">
              <w:rPr>
                <w:rFonts w:asciiTheme="minorHAnsi" w:hAnsiTheme="minorHAnsi" w:cs="Arial"/>
                <w:sz w:val="20"/>
              </w:rPr>
              <w:t xml:space="preserve"> Grãos de Verão: algodão, amendoim, arroz, fava, feijão, girassol, milho 1ª safra e soja.</w:t>
            </w:r>
          </w:p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  <w:sz w:val="20"/>
              </w:rPr>
              <w:t xml:space="preserve">³ </w:t>
            </w:r>
            <w:r w:rsidRPr="008E6687">
              <w:rPr>
                <w:rFonts w:asciiTheme="minorHAnsi" w:hAnsiTheme="minorHAnsi" w:cs="Arial"/>
                <w:sz w:val="20"/>
              </w:rPr>
              <w:t>Outros: café, cana-de-açúcar, olerícolas, seguro pecuário, seguro de florestas e aquícola.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687" w:rsidRPr="008E6687" w:rsidRDefault="008E6687" w:rsidP="0099347D">
            <w:pPr>
              <w:rPr>
                <w:rFonts w:asciiTheme="minorHAnsi" w:hAnsiTheme="minorHAnsi" w:cs="Arial"/>
              </w:rPr>
            </w:pPr>
            <w:r w:rsidRPr="008E6687">
              <w:rPr>
                <w:rFonts w:asciiTheme="minorHAnsi" w:hAnsiTheme="minorHAnsi" w:cs="Arial"/>
                <w:b/>
                <w:bCs/>
                <w:sz w:val="20"/>
              </w:rPr>
              <w:t>** Todo primeiro dia útil do mês</w:t>
            </w:r>
          </w:p>
        </w:tc>
      </w:tr>
    </w:tbl>
    <w:p w:rsidR="008C6974" w:rsidRDefault="008C6974" w:rsidP="008E6687"/>
    <w:sectPr w:rsidR="008C6974" w:rsidSect="00A36E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87"/>
    <w:rsid w:val="008C6974"/>
    <w:rsid w:val="008E6687"/>
    <w:rsid w:val="00D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Loyola</dc:creator>
  <cp:lastModifiedBy>CAROL</cp:lastModifiedBy>
  <cp:revision>2</cp:revision>
  <dcterms:created xsi:type="dcterms:W3CDTF">2016-06-03T17:24:00Z</dcterms:created>
  <dcterms:modified xsi:type="dcterms:W3CDTF">2016-06-03T17:24:00Z</dcterms:modified>
</cp:coreProperties>
</file>